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205C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E221AF">
        <w:rPr>
          <w:rFonts w:ascii="Times New Roman" w:eastAsia="Calibri" w:hAnsi="Times New Roman" w:cs="Times New Roman"/>
          <w:b/>
        </w:rPr>
        <w:t xml:space="preserve">АННОТАЦИЯ </w:t>
      </w:r>
    </w:p>
    <w:p w14:paraId="7D193432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14:paraId="767AA025" w14:textId="328E4D63" w:rsidR="008F3224" w:rsidRDefault="008F3224" w:rsidP="008F32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1AF">
        <w:rPr>
          <w:rFonts w:ascii="Times New Roman" w:eastAsia="Calibri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ОП.06.</w:t>
      </w:r>
      <w:r w:rsidRPr="008F322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МАТЕРИАЛОВЕДЕНИЕ</w:t>
      </w:r>
    </w:p>
    <w:p w14:paraId="1E06AF89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E221AF">
        <w:rPr>
          <w:rFonts w:ascii="Times New Roman" w:eastAsia="Calibri" w:hAnsi="Times New Roman" w:cs="Times New Roman"/>
        </w:rPr>
        <w:t xml:space="preserve">для обучающихся </w:t>
      </w:r>
      <w:r w:rsidRPr="00E221AF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14:paraId="7FEEF183" w14:textId="77777777" w:rsidR="008F3224" w:rsidRDefault="008F3224" w:rsidP="00E221A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51631005"/>
      <w:r w:rsidRPr="00AA2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15.02.10. Мехатроника и мобильная робототехника (по отраслям)</w:t>
      </w:r>
    </w:p>
    <w:bookmarkEnd w:id="1"/>
    <w:p w14:paraId="77E17E1E" w14:textId="01C50F77" w:rsid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>Форма обучения: очная</w:t>
      </w:r>
    </w:p>
    <w:p w14:paraId="77EFA4EF" w14:textId="77777777" w:rsidR="008F3224" w:rsidRPr="00E221AF" w:rsidRDefault="008F3224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14:paraId="20B0360B" w14:textId="5B442F70" w:rsidR="00E221AF" w:rsidRPr="00524999" w:rsidRDefault="00E221AF" w:rsidP="00524999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4BC9">
        <w:rPr>
          <w:rFonts w:ascii="Times New Roman" w:eastAsia="Calibri" w:hAnsi="Times New Roman" w:cs="Times New Roman"/>
          <w:sz w:val="24"/>
          <w:szCs w:val="24"/>
        </w:rPr>
        <w:t>о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бщепрофессионального цикла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3224"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МАТЕРИАЛОВЕДЕНИЕ</w:t>
      </w:r>
      <w:r w:rsidR="008F3224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по специальности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15.02.10. Мехатроника и мобильная робототехника (по отраслям)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приказом 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Министерства образования и науки Российской Федерации от 9 декабря 2016 г. N 1550 (зарегистрирован Министерством юстиции Российской Федерации 26 декабря 2016 г., регистрационный N 44976), с изменениями, внесенными приказами Министерства просвещения Российской Федерации от 17 декабря 2020 г. N 747 (зарегистрирован Министерством юстиции Российской Федерации 22 января 2021 г., регистрационный N 62178) и от 1 сентября 2022 г. N 796 (зарегистрирован Министерством юстиции Российской Федерации 11 октября 2022 г., регистрационный N 70461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524999">
        <w:rPr>
          <w:rFonts w:ascii="Times New Roman" w:eastAsia="Calibri" w:hAnsi="Times New Roman" w:cs="Times New Roman"/>
          <w:sz w:val="24"/>
          <w:szCs w:val="24"/>
        </w:rPr>
        <w:t>ИТТриС</w:t>
      </w:r>
      <w:proofErr w:type="spellEnd"/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 (утв. Пр. №136 от 09.02.2023 г.). </w:t>
      </w:r>
    </w:p>
    <w:p w14:paraId="23160DA7" w14:textId="163EF762" w:rsidR="00E221AF" w:rsidRPr="00524999" w:rsidRDefault="00E221AF" w:rsidP="00E221A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524999">
        <w:rPr>
          <w:rFonts w:ascii="Times New Roman" w:eastAsia="Calibri" w:hAnsi="Times New Roman" w:cs="Times New Roman"/>
          <w:sz w:val="24"/>
          <w:szCs w:val="24"/>
        </w:rPr>
        <w:t>2 и 3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14:paraId="2016885A" w14:textId="06723616" w:rsidR="00E221AF" w:rsidRPr="00524999" w:rsidRDefault="00E221AF" w:rsidP="00E221A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524999">
        <w:rPr>
          <w:rFonts w:ascii="Times New Roman" w:eastAsia="Calibri" w:hAnsi="Times New Roman" w:cs="Times New Roman"/>
          <w:sz w:val="24"/>
          <w:szCs w:val="24"/>
        </w:rPr>
        <w:t>130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14:paraId="1B799F84" w14:textId="77777777" w:rsidR="00E221AF" w:rsidRPr="00A34BC9" w:rsidRDefault="00E221AF" w:rsidP="00A34BC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4BC9">
        <w:rPr>
          <w:rFonts w:ascii="Times New Roman" w:hAnsi="Times New Roman" w:cs="Times New Roman"/>
          <w:b/>
        </w:rPr>
        <w:t>Содержание учебной дисциплины состоит из следующих разделов:</w:t>
      </w:r>
    </w:p>
    <w:p w14:paraId="23E954FC" w14:textId="1B408A90" w:rsidR="00E221AF" w:rsidRPr="00A34BC9" w:rsidRDefault="00A34BC9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34BC9">
        <w:rPr>
          <w:rFonts w:ascii="Times New Roman" w:hAnsi="Times New Roman" w:cs="Times New Roman"/>
          <w:bCs/>
        </w:rPr>
        <w:t>РАЗДЕЛ 1. Закономерности формирования структуры материала</w:t>
      </w:r>
    </w:p>
    <w:p w14:paraId="496E0CB5" w14:textId="7A78DED3" w:rsidR="00E221AF" w:rsidRPr="00A34BC9" w:rsidRDefault="00A34BC9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34BC9">
        <w:rPr>
          <w:rFonts w:ascii="Times New Roman" w:hAnsi="Times New Roman" w:cs="Times New Roman"/>
          <w:bCs/>
        </w:rPr>
        <w:t xml:space="preserve">РАЗДЕЛ 2. Конструкционные и инструментальные материалы, применяемые в </w:t>
      </w:r>
      <w:proofErr w:type="spellStart"/>
      <w:r w:rsidRPr="00A34BC9">
        <w:rPr>
          <w:rFonts w:ascii="Times New Roman" w:hAnsi="Times New Roman" w:cs="Times New Roman"/>
          <w:bCs/>
        </w:rPr>
        <w:t>машино</w:t>
      </w:r>
      <w:proofErr w:type="spellEnd"/>
      <w:r w:rsidRPr="00A34BC9">
        <w:rPr>
          <w:rFonts w:ascii="Times New Roman" w:hAnsi="Times New Roman" w:cs="Times New Roman"/>
          <w:bCs/>
        </w:rPr>
        <w:t>- и приборостроении</w:t>
      </w:r>
    </w:p>
    <w:p w14:paraId="1DEA4855" w14:textId="7D202315" w:rsidR="00E221AF" w:rsidRPr="00A34BC9" w:rsidRDefault="00A34BC9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34BC9">
        <w:rPr>
          <w:rFonts w:ascii="Times New Roman" w:hAnsi="Times New Roman" w:cs="Times New Roman"/>
          <w:bCs/>
        </w:rPr>
        <w:t>РАЗДЕЛ 3. Инструментальные материалы</w:t>
      </w:r>
    </w:p>
    <w:p w14:paraId="3FE5B0C8" w14:textId="62E11ED3" w:rsidR="00E221AF" w:rsidRPr="00A34BC9" w:rsidRDefault="00A34BC9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34BC9">
        <w:rPr>
          <w:rFonts w:ascii="Times New Roman" w:hAnsi="Times New Roman" w:cs="Times New Roman"/>
          <w:bCs/>
        </w:rPr>
        <w:t>РАЗДЕЛ 4. Порошковые и композитные материалы. Коррозия, методы защиты от коррозии</w:t>
      </w:r>
    </w:p>
    <w:p w14:paraId="7EDF6F7A" w14:textId="480608B4" w:rsidR="00E221AF" w:rsidRPr="00E221AF" w:rsidRDefault="00E221AF" w:rsidP="00E221A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CC49048" w14:textId="77777777" w:rsidR="00E221AF" w:rsidRPr="00A34BC9" w:rsidRDefault="00E221AF" w:rsidP="0052499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В результате изучения учебной дисциплины у обучающихся формируются:</w:t>
      </w:r>
    </w:p>
    <w:p w14:paraId="7BE008D2" w14:textId="77777777" w:rsidR="00E221AF" w:rsidRPr="00A34BC9" w:rsidRDefault="00E221AF" w:rsidP="00A34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компетенции, включающие в себя способность: </w:t>
      </w:r>
    </w:p>
    <w:p w14:paraId="692C1879" w14:textId="35EF4C51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</w:t>
      </w:r>
      <w:r w:rsidRPr="005249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B3BAC3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3272CBE1" w14:textId="60055F64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OK 04. Работать в коллективе и команде, эффективно взаимодействовать с коллегами, руководством, клиентами.</w:t>
      </w:r>
    </w:p>
    <w:p w14:paraId="79044170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891872B" w14:textId="5608ED5B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51FB2588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ADBB2FE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496E72EB" w14:textId="39C50C5D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14:paraId="2D3B8780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ОК 10. Пользоваться профессиональной документацией на государственном и иностранном языках.</w:t>
      </w:r>
    </w:p>
    <w:p w14:paraId="5FCA0314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OK 11. Планировать предпринимательскую деятельность в профессиональной сфере</w:t>
      </w:r>
    </w:p>
    <w:p w14:paraId="63E4FE57" w14:textId="77777777" w:rsidR="00524999" w:rsidRPr="00524999" w:rsidRDefault="00524999" w:rsidP="00524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EEC3FD" w14:textId="77777777" w:rsidR="00524999" w:rsidRPr="00A34BC9" w:rsidRDefault="00524999" w:rsidP="0052499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Профессиональные компетенции:</w:t>
      </w:r>
    </w:p>
    <w:p w14:paraId="421F8AA7" w14:textId="40FA8CD8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ПК 1.1. Выполнять монтаж компонентов и модулей мехатронных систем в соответствии с технической документацией.</w:t>
      </w:r>
    </w:p>
    <w:p w14:paraId="41E1BA3A" w14:textId="21350008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ПК 1.4. Выполнять работы по наладке компонентов и модулей мехатронных систем в соответствии с технической документацией.</w:t>
      </w:r>
    </w:p>
    <w:p w14:paraId="0BB2083C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ПК 2.1. Осуществлять техническое обслуживание компонентов и модулей</w:t>
      </w:r>
    </w:p>
    <w:p w14:paraId="47F28C03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мехатронных систем в соответствии с технической документацией.</w:t>
      </w:r>
    </w:p>
    <w:p w14:paraId="3EF21AFE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ПК 2.2. Диагностировать неисправности мехатронных систем с использованием алгоритмов поиска и устранения неисправностей.</w:t>
      </w:r>
    </w:p>
    <w:p w14:paraId="1A977615" w14:textId="5C7A4D7F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ПК 2.3. Производить замену и ремонт компонентов и модулей мехатронных систем в соответствии с технической документацией.</w:t>
      </w:r>
    </w:p>
    <w:p w14:paraId="06630060" w14:textId="0C8229AF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ПК 3.1. Составлять схемы простых мехатронных систем в соответствии с техническим заданием.</w:t>
      </w:r>
    </w:p>
    <w:p w14:paraId="1F1204BF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ПК 3.2. Моделировать работу простых мехатронных систем.</w:t>
      </w:r>
    </w:p>
    <w:p w14:paraId="114CCAC3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ПК 3.3. Оптимизировать работу компонентов и модулей мехатронных систем в соответствии с технической документацией.</w:t>
      </w:r>
    </w:p>
    <w:sectPr w:rsidR="00524999" w:rsidRPr="0052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3062B"/>
    <w:rsid w:val="00524999"/>
    <w:rsid w:val="008F3224"/>
    <w:rsid w:val="009368CF"/>
    <w:rsid w:val="009B340E"/>
    <w:rsid w:val="00A34BC9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A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2023-11-24T02:06:00Z</dcterms:created>
  <dcterms:modified xsi:type="dcterms:W3CDTF">2023-11-24T02:06:00Z</dcterms:modified>
</cp:coreProperties>
</file>